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lang w:eastAsia="en-GB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5105704</wp:posOffset>
            </wp:positionH>
            <wp:positionV relativeFrom="page">
              <wp:posOffset>244373</wp:posOffset>
            </wp:positionV>
            <wp:extent cx="1409700" cy="1750003"/>
            <wp:effectExtent l="0" t="0" r="0" b="3175"/>
            <wp:wrapNone/>
            <wp:docPr id="1026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9700" cy="1750003"/>
                    </a:xfrm>
                    <a:prstGeom prst="rect"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</w:t>
      </w:r>
      <w:r>
        <w:t xml:space="preserve">   </w:t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2879725" cy="396000"/>
                <wp:effectExtent l="0" t="0" r="15875" b="23495"/>
                <wp:docPr id="1027" name="Rounded 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9725" cy="39600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BankGothic Lt BT" w:hAnsi="BankGothic Lt BT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sz w:val="36"/>
                                <w:szCs w:val="36"/>
                                <w:lang w:val="en-US"/>
                              </w:rPr>
                              <w:t>Curriculum Vitae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27" arcsize="0.16666667," fillcolor="#5b9bd5" stroked="t" style="margin-left:0.0pt;margin-top:0.0pt;width:226.75pt;height:31.18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BankGothic Lt BT" w:hAnsi="BankGothic Lt BT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sz w:val="36"/>
                          <w:szCs w:val="36"/>
                          <w:lang w:val="en-US"/>
                        </w:rPr>
                        <w:t>Curriculum Vitae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p>
      <w:pPr>
        <w:pStyle w:val="style4099"/>
        <w:ind w:left="284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Alroy </w:t>
      </w:r>
      <w:r>
        <w:rPr>
          <w:rFonts w:ascii="Calibri" w:cs="Calibri" w:hAnsi="Calibri"/>
          <w:sz w:val="28"/>
          <w:szCs w:val="28"/>
        </w:rPr>
        <w:t xml:space="preserve">Pius </w:t>
      </w:r>
      <w:r>
        <w:rPr>
          <w:rFonts w:ascii="Calibri" w:cs="Calibri" w:hAnsi="Calibri"/>
          <w:sz w:val="28"/>
          <w:szCs w:val="28"/>
        </w:rPr>
        <w:t>Lewis</w:t>
      </w:r>
    </w:p>
    <w:p>
      <w:pPr>
        <w:pStyle w:val="style4099"/>
        <w:ind w:left="284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Email id: lewis.alroy@gmail.com </w:t>
      </w:r>
    </w:p>
    <w:p>
      <w:pPr>
        <w:pStyle w:val="style0"/>
        <w:spacing w:after="0"/>
        <w:ind w:left="284"/>
        <w:rPr>
          <w:color w:val="ffffff"/>
          <w:sz w:val="24"/>
          <w:szCs w:val="24"/>
        </w:rPr>
      </w:pPr>
      <w:r>
        <w:rPr>
          <w:rFonts w:cs="Calibri"/>
          <w:sz w:val="28"/>
          <w:szCs w:val="28"/>
        </w:rPr>
        <w:t>Mob: 9844832660</w:t>
      </w:r>
      <w:r>
        <w:rPr>
          <w:rFonts w:cs="Calibri"/>
          <w:sz w:val="28"/>
          <w:szCs w:val="28"/>
        </w:rPr>
        <w:t>.</w:t>
      </w:r>
    </w:p>
    <w:p>
      <w:pPr>
        <w:pStyle w:val="style0"/>
        <w:spacing w:after="0"/>
        <w:ind w:left="284"/>
        <w:rPr>
          <w:color w:val="000000"/>
          <w:sz w:val="24"/>
          <w:szCs w:val="24"/>
        </w:rPr>
      </w:pPr>
      <w:r>
        <w:rPr>
          <w:rFonts w:cs="Calibri"/>
          <w:sz w:val="28"/>
          <w:szCs w:val="28"/>
        </w:rPr>
        <w:t xml:space="preserve">LinkedIn: </w:t>
      </w:r>
      <w:r>
        <w:rPr/>
        <w:fldChar w:fldCharType="begin"/>
      </w:r>
      <w:r>
        <w:instrText xml:space="preserve"> HYPERLINK "http://www.linkedin.com/in/alroy-lewis-0548a5176/" </w:instrText>
      </w:r>
      <w:r>
        <w:rPr/>
        <w:fldChar w:fldCharType="separate"/>
      </w:r>
      <w:r>
        <w:rPr>
          <w:rStyle w:val="style85"/>
          <w:color w:val="2e74b5"/>
          <w:sz w:val="24"/>
          <w:szCs w:val="24"/>
        </w:rPr>
        <w:t>www.linkedin.com/in/alroy-lewis-0548a5176/</w:t>
      </w:r>
      <w:r>
        <w:rPr/>
        <w:fldChar w:fldCharType="end"/>
      </w:r>
    </w:p>
    <w:p>
      <w:pPr>
        <w:pStyle w:val="style0"/>
        <w:spacing w:before="240" w:after="0"/>
        <w:jc w:val="center"/>
        <w:rPr/>
      </w:pP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6480000" cy="323850"/>
                <wp:effectExtent l="0" t="0" r="16510" b="19050"/>
                <wp:docPr id="1029" name="Rounded 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000" cy="32385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Carrier Objective: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29" arcsize="0.16666667," fillcolor="#5b9bd5" stroked="t" style="margin-left:0.0pt;margin-top:0.0pt;width:510.24pt;height:25.5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Carrier Objective: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p>
      <w:pPr>
        <w:pStyle w:val="style0"/>
        <w:spacing w:after="0"/>
        <w:ind w:firstLine="1134"/>
        <w:rPr>
          <w:rFonts w:ascii="Calibri" w:cs="Calibri" w:hAnsi="Calibri"/>
          <w:sz w:val="24"/>
          <w:szCs w:val="24"/>
        </w:rPr>
      </w:pPr>
      <w:r>
        <w:t xml:space="preserve"> </w:t>
      </w:r>
      <w:r>
        <w:rPr>
          <w:rFonts w:ascii="Calibri" w:cs="Calibri" w:hAnsi="Calibri"/>
          <w:sz w:val="24"/>
          <w:szCs w:val="24"/>
        </w:rPr>
        <w:t>To excel in my professional carrier by getting into a</w:t>
      </w:r>
      <w:r>
        <w:rPr>
          <w:rFonts w:ascii="Calibri" w:cs="Calibri" w:hAnsi="Calibri"/>
          <w:sz w:val="24"/>
          <w:szCs w:val="24"/>
        </w:rPr>
        <w:t>n</w:t>
      </w:r>
      <w:r>
        <w:rPr>
          <w:rFonts w:ascii="Calibri" w:cs="Calibri" w:hAnsi="Calibri"/>
          <w:sz w:val="24"/>
          <w:szCs w:val="24"/>
        </w:rPr>
        <w:t xml:space="preserve"> engineering industry and contribute to the organizational betterment along with improvement in my skills in latest technology. I would put my smart effort to see my organization reach the peak of professional excellence.</w:t>
      </w:r>
    </w:p>
    <w:p>
      <w:pPr>
        <w:pStyle w:val="style0"/>
        <w:spacing w:before="240"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6480000" cy="323850"/>
                <wp:effectExtent l="0" t="0" r="16510" b="19050"/>
                <wp:docPr id="1031" name="Rounded 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000" cy="32385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Professional Summary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31" arcsize="0.16666667," fillcolor="#5b9bd5" stroked="t" style="margin-left:0.0pt;margin-top:0.0pt;width:510.24pt;height:25.5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Professional Summary</w:t>
                      </w: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p>
      <w:pPr>
        <w:pStyle w:val="style0"/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A result oriented profess</w:t>
      </w:r>
      <w:r>
        <w:rPr>
          <w:sz w:val="24"/>
          <w:szCs w:val="24"/>
        </w:rPr>
        <w:t>ional, with work experience in Project management, P</w:t>
      </w:r>
      <w:r>
        <w:rPr>
          <w:sz w:val="24"/>
          <w:szCs w:val="24"/>
        </w:rPr>
        <w:t xml:space="preserve">rocess </w:t>
      </w:r>
      <w:r>
        <w:rPr>
          <w:sz w:val="24"/>
          <w:szCs w:val="24"/>
        </w:rPr>
        <w:t>planning, Material management, Assembling, Installation on site and P</w:t>
      </w:r>
      <w:r>
        <w:rPr>
          <w:sz w:val="24"/>
          <w:szCs w:val="24"/>
        </w:rPr>
        <w:t xml:space="preserve">rove out. Capable of managing complete projects.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 affective communicator with exceptional relationship management skills with capability to relate to people at any level of business. Team working and excellent people management skills.</w:t>
      </w:r>
    </w:p>
    <w:p>
      <w:pPr>
        <w:pStyle w:val="style0"/>
        <w:spacing w:after="0"/>
        <w:ind w:firstLine="1134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QC Engineer with over </w:t>
      </w:r>
      <w:r>
        <w:rPr>
          <w:bCs/>
          <w:sz w:val="24"/>
          <w:szCs w:val="24"/>
        </w:rPr>
        <w:t xml:space="preserve">2 and half years </w:t>
      </w:r>
      <w:r>
        <w:rPr>
          <w:sz w:val="24"/>
          <w:szCs w:val="24"/>
        </w:rPr>
        <w:t xml:space="preserve">of professional experience in various sectors of Valves manufacturing industries. Worked in Incoming and </w:t>
      </w:r>
      <w:r>
        <w:rPr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z w:val="24"/>
          <w:szCs w:val="24"/>
        </w:rPr>
        <w:t>process Inspection of machined products. Inspection of finished products, Raw Materials, machined components and Sub Contract Machined products.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style0"/>
        <w:spacing w:before="240" w:after="0"/>
        <w:jc w:val="center"/>
        <w:rPr>
          <w:sz w:val="23"/>
          <w:szCs w:val="23"/>
        </w:rPr>
      </w:pP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6480000" cy="323850"/>
                <wp:effectExtent l="0" t="0" r="16510" b="19050"/>
                <wp:docPr id="1033" name="Rounded 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000" cy="32385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Professional Experience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33" arcsize="0.16666667," fillcolor="#5b9bd5" stroked="t" style="margin-left:0.0pt;margin-top:0.0pt;width:510.24pt;height:25.5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Professional Experience</w:t>
                      </w: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p>
      <w:pPr>
        <w:pStyle w:val="style4099"/>
        <w:numPr>
          <w:ilvl w:val="0"/>
          <w:numId w:val="1"/>
        </w:numPr>
        <w:ind w:left="142" w:firstLine="218"/>
        <w:rPr>
          <w:rFonts w:ascii="Calibri" w:cs="Calibri" w:hAnsi="Calibri"/>
          <w:b/>
          <w:bCs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  <w:lang w:val="en-US"/>
        </w:rPr>
        <w:t>Waterways Shipyard Pvt. Ltd</w:t>
      </w:r>
    </w:p>
    <w:p>
      <w:pPr>
        <w:pStyle w:val="style4099"/>
        <w:numPr>
          <w:ilvl w:val="0"/>
          <w:numId w:val="0"/>
        </w:numPr>
        <w:ind w:left="360"/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  <w:lang w:val="en-US"/>
        </w:rPr>
        <w:t xml:space="preserve">    </w:t>
      </w: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WSPL is a renowned shipbuilding company and a focus on excellence.</w:t>
      </w:r>
    </w:p>
    <w:p>
      <w:pPr>
        <w:pStyle w:val="style4099"/>
        <w:numPr>
          <w:ilvl w:val="0"/>
          <w:numId w:val="0"/>
        </w:numPr>
        <w:ind w:left="360"/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Our specializations are shipbuilding, ship repair, maritime consultancy and ship management. Our ship repair division uses cutting-edge methods and cutting-edge tools to deliver effective and thorough repair services, limiting vessel downtime and ensuring operational effectiveness.</w:t>
      </w:r>
    </w:p>
    <w:tbl>
      <w:tblPr>
        <w:tblpPr w:leftFromText="180" w:rightFromText="180" w:topFromText="0" w:bottomFromText="0" w:vertAnchor="text" w:horzAnchor="margin" w:tblpXSpec="right" w:tblpY="157"/>
        <w:tblW w:w="10493" w:type="dxa"/>
        <w:jc w:val="left"/>
        <w:shd w:val="clear" w:color="ffffff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972"/>
      </w:tblGrid>
      <w:tr>
        <w:trPr>
          <w:cantSplit w:val="false"/>
          <w:trHeight w:val="142" w:hRule="atLeast"/>
          <w:tblHeader w:val="false"/>
          <w:jc w:val="left"/>
        </w:trPr>
        <w:tc>
          <w:tcPr>
            <w:tcW w:w="149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60" w:lineRule="auto" w:line="259"/>
              <w:jc w:val="left"/>
              <w:rPr>
                <w:rFonts w:ascii="Calibri" w:cs="Calibri" w:hAnsi="Calibri"/>
                <w:b w:val="false"/>
                <w:bCs w:val="false"/>
                <w:sz w:val="28"/>
                <w:szCs w:val="28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04/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2024</w:t>
            </w:r>
          </w:p>
          <w:p>
            <w:pPr>
              <w:spacing w:after="160" w:lineRule="auto" w:line="259"/>
              <w:jc w:val="left"/>
              <w:rPr>
                <w:rFonts w:ascii="Calibri" w:cs="Calibri" w:hAnsi="Calibri"/>
                <w:b w:val="false"/>
                <w:bCs w:val="false"/>
                <w:sz w:val="28"/>
                <w:szCs w:val="28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–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 Present</w:t>
            </w:r>
          </w:p>
        </w:tc>
        <w:tc>
          <w:tcPr>
            <w:tcW w:w="8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60" w:lineRule="auto" w:line="259"/>
              <w:jc w:val="left"/>
              <w:rPr>
                <w:rFonts w:ascii="Calibri" w:cs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Role: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GB" w:eastAsia="en-US"/>
              </w:rPr>
              <w:t xml:space="preserve"> Purchase Trainee Engineer</w:t>
            </w:r>
          </w:p>
        </w:tc>
      </w:tr>
      <w:tr>
        <w:tblPrEx/>
        <w:trPr>
          <w:cantSplit w:val="false"/>
          <w:trHeight w:val="351" w:hRule="atLeast"/>
          <w:tblHeader w:val="false"/>
          <w:jc w:val="left"/>
        </w:trPr>
        <w:tc>
          <w:tcPr>
            <w:tcW w:w="149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tcMar/>
          </w:tcPr>
          <w:p>
            <w:pPr>
              <w:spacing w:after="160" w:lineRule="auto" w:line="259"/>
              <w:jc w:val="left"/>
              <w:rPr>
                <w:rFonts w:ascii="Calibri" w:cs="Calibri" w:hAnsi="Calibri"/>
                <w:b w:val="false"/>
                <w:bCs w:val="false"/>
                <w:sz w:val="28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60" w:lineRule="auto" w:line="259"/>
              <w:jc w:val="left"/>
              <w:rPr>
                <w:rFonts w:ascii="Calibri" w:cs="Calibri" w:hAnsi="Calibri"/>
                <w:b w:val="false"/>
                <w:bCs w:val="false"/>
                <w:i/>
                <w:iCs/>
                <w:sz w:val="28"/>
                <w:szCs w:val="28"/>
              </w:rPr>
            </w:pPr>
            <w:r>
              <w:rPr>
                <w:rFonts w:ascii="Calibri" w:cs="Calibri" w:hAnsi="Calibri"/>
                <w:b w:val="false"/>
                <w:bCs w:val="false"/>
                <w:i/>
                <w:iCs/>
                <w:sz w:val="28"/>
                <w:szCs w:val="28"/>
                <w:lang w:val="en-US"/>
              </w:rPr>
              <w:t>Waterways Shipyard pvt ltd, Hungarcutta Udupi.</w:t>
            </w:r>
          </w:p>
        </w:tc>
      </w:tr>
    </w:tbl>
    <w:p>
      <w:pPr>
        <w:pStyle w:val="style4099"/>
        <w:numPr>
          <w:ilvl w:val="0"/>
          <w:numId w:val="10"/>
        </w:numPr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Preparing Comparisons for Quotes received from various Vendors.</w:t>
      </w:r>
    </w:p>
    <w:p>
      <w:pPr>
        <w:pStyle w:val="style4099"/>
        <w:numPr>
          <w:ilvl w:val="0"/>
          <w:numId w:val="10"/>
        </w:numPr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Negotiating the Price and Terms &amp; Conditions of favourable Quote, L1.</w:t>
      </w:r>
    </w:p>
    <w:p>
      <w:pPr>
        <w:pStyle w:val="style4099"/>
        <w:numPr>
          <w:ilvl w:val="0"/>
          <w:numId w:val="10"/>
        </w:numPr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Maintaining a PO Tracker for all indents made until Complete Delivery.</w:t>
      </w:r>
    </w:p>
    <w:p>
      <w:pPr>
        <w:pStyle w:val="style4099"/>
        <w:numPr>
          <w:ilvl w:val="0"/>
          <w:numId w:val="10"/>
        </w:numPr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Follow up of material until Po closed with complete delivery.</w:t>
      </w:r>
    </w:p>
    <w:p>
      <w:pPr>
        <w:pStyle w:val="style4099"/>
        <w:numPr>
          <w:ilvl w:val="0"/>
          <w:numId w:val="10"/>
        </w:numPr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Understanding Technical and floating Indents for Quotation.</w:t>
      </w:r>
    </w:p>
    <w:p>
      <w:pPr>
        <w:pStyle w:val="style4099"/>
        <w:numPr>
          <w:ilvl w:val="0"/>
          <w:numId w:val="10"/>
        </w:numPr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Filing of PO's with Comparison and Quotation with Summary Sheet.</w:t>
      </w:r>
    </w:p>
    <w:p>
      <w:pPr>
        <w:pStyle w:val="style4099"/>
        <w:numPr>
          <w:ilvl w:val="0"/>
          <w:numId w:val="10"/>
        </w:numPr>
        <w:rPr>
          <w:rFonts w:ascii="Calibri" w:cs="Calibri" w:hAnsi="Calibri"/>
          <w:b w:val="false"/>
          <w:bCs w:val="false"/>
          <w:sz w:val="28"/>
          <w:szCs w:val="28"/>
        </w:rPr>
      </w:pPr>
      <w:r>
        <w:rPr>
          <w:rFonts w:ascii="Calibri" w:cs="Calibri" w:hAnsi="Calibri"/>
          <w:b w:val="false"/>
          <w:bCs w:val="false"/>
          <w:sz w:val="28"/>
          <w:szCs w:val="28"/>
          <w:lang w:val="en-US"/>
        </w:rPr>
        <w:t>Vendor Development &amp; maintaining Vendor Master List.</w:t>
      </w:r>
    </w:p>
    <w:p>
      <w:pPr>
        <w:pStyle w:val="style4099"/>
        <w:numPr>
          <w:ilvl w:val="0"/>
          <w:numId w:val="0"/>
        </w:numPr>
        <w:rPr>
          <w:rFonts w:ascii="Calibri" w:cs="Calibri" w:hAnsi="Calibri"/>
          <w:b w:val="false"/>
          <w:bCs w:val="false"/>
          <w:sz w:val="28"/>
          <w:szCs w:val="28"/>
        </w:rPr>
      </w:pPr>
    </w:p>
    <w:p>
      <w:pPr>
        <w:pStyle w:val="style4099"/>
        <w:numPr>
          <w:ilvl w:val="0"/>
          <w:numId w:val="0"/>
        </w:numPr>
        <w:rPr>
          <w:rFonts w:ascii="Calibri" w:cs="Calibri" w:hAnsi="Calibri"/>
          <w:b w:val="false"/>
          <w:bCs w:val="false"/>
          <w:sz w:val="28"/>
          <w:szCs w:val="28"/>
        </w:rPr>
      </w:pPr>
    </w:p>
    <w:p>
      <w:pPr>
        <w:pStyle w:val="style4099"/>
        <w:numPr>
          <w:ilvl w:val="0"/>
          <w:numId w:val="0"/>
        </w:numPr>
        <w:ind w:left="360"/>
        <w:rPr>
          <w:rFonts w:ascii="Calibri" w:cs="Calibri" w:hAnsi="Calibri"/>
          <w:b w:val="false"/>
          <w:bCs w:val="false"/>
          <w:sz w:val="28"/>
          <w:szCs w:val="28"/>
        </w:rPr>
      </w:pPr>
    </w:p>
    <w:p>
      <w:pPr>
        <w:pStyle w:val="style4099"/>
        <w:numPr>
          <w:ilvl w:val="0"/>
          <w:numId w:val="1"/>
        </w:numPr>
        <w:ind w:left="142" w:firstLine="218"/>
        <w:rPr>
          <w:rFonts w:ascii="Calibri" w:cs="Calibri" w:hAnsi="Calibri"/>
        </w:rPr>
      </w:pPr>
      <w:r>
        <w:rPr>
          <w:rFonts w:ascii="Calibri" w:cs="Calibri" w:hAnsi="Calibri"/>
          <w:b/>
          <w:bCs/>
          <w:sz w:val="28"/>
          <w:szCs w:val="28"/>
        </w:rPr>
        <w:t>TOYOTA KIRLOSKAR MOTORS Pvt.</w:t>
      </w:r>
      <w:r>
        <w:rPr>
          <w:rFonts w:ascii="Calibri" w:cs="Calibri" w:hAnsi="Calibri"/>
          <w:b/>
          <w:bCs/>
          <w:sz w:val="28"/>
          <w:szCs w:val="28"/>
        </w:rPr>
        <w:t xml:space="preserve"> </w:t>
      </w:r>
      <w:r>
        <w:rPr>
          <w:rFonts w:ascii="Calibri" w:cs="Calibri" w:hAnsi="Calibri"/>
          <w:b/>
          <w:bCs/>
          <w:sz w:val="28"/>
          <w:szCs w:val="28"/>
        </w:rPr>
        <w:t>Ltd</w:t>
      </w:r>
      <w:r>
        <w:rPr>
          <w:rFonts w:ascii="Calibri" w:cs="Calibri" w:hAnsi="Calibri"/>
          <w:b/>
          <w:bCs/>
          <w:sz w:val="28"/>
          <w:szCs w:val="28"/>
        </w:rPr>
        <w:t>.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</w:rPr>
        <w:t xml:space="preserve">in </w:t>
      </w:r>
      <w:r>
        <w:rPr>
          <w:rFonts w:ascii="Calibri" w:cs="Calibri" w:hAnsi="Calibri"/>
          <w:b/>
        </w:rPr>
        <w:t>I</w:t>
      </w:r>
      <w:r>
        <w:rPr>
          <w:rFonts w:ascii="Calibri" w:cs="Calibri" w:hAnsi="Calibri"/>
          <w:b/>
        </w:rPr>
        <w:t>.</w:t>
      </w:r>
      <w:r>
        <w:rPr>
          <w:rFonts w:ascii="Calibri" w:cs="Calibri" w:hAnsi="Calibri"/>
          <w:b/>
        </w:rPr>
        <w:t>H</w:t>
      </w:r>
      <w:r>
        <w:rPr>
          <w:rFonts w:ascii="Calibri" w:cs="Calibri" w:hAnsi="Calibri"/>
          <w:b/>
        </w:rPr>
        <w:t>.</w:t>
      </w:r>
      <w:r>
        <w:rPr>
          <w:rFonts w:ascii="Calibri" w:cs="Calibri" w:hAnsi="Calibri"/>
          <w:b/>
        </w:rPr>
        <w:t>T</w:t>
      </w:r>
      <w:r>
        <w:rPr>
          <w:rFonts w:ascii="Calibri" w:cs="Calibri" w:hAnsi="Calibri"/>
          <w:b/>
        </w:rPr>
        <w:t>.</w:t>
      </w:r>
      <w:r>
        <w:rPr>
          <w:rFonts w:ascii="Calibri" w:cs="Calibri" w:hAnsi="Calibri"/>
          <w:b/>
        </w:rPr>
        <w:t>M D</w:t>
      </w:r>
      <w:r>
        <w:rPr>
          <w:rFonts w:ascii="Calibri" w:cs="Calibri" w:hAnsi="Calibri"/>
          <w:b/>
        </w:rPr>
        <w:t>ept.</w:t>
      </w:r>
      <w:r>
        <w:rPr>
          <w:rFonts w:ascii="Calibri" w:cs="Calibri" w:hAnsi="Calibri"/>
        </w:rPr>
        <w:t xml:space="preserve"> (IN HOUSE TOOL MANUFACTURING</w:t>
      </w:r>
      <w:r>
        <w:rPr>
          <w:rFonts w:ascii="Calibri" w:cs="Calibri" w:hAnsi="Calibri"/>
        </w:rPr>
        <w:t>)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Under </w:t>
      </w:r>
      <w:r>
        <w:rPr>
          <w:rFonts w:ascii="Calibri" w:cs="Calibri" w:hAnsi="Calibri"/>
          <w:b/>
        </w:rPr>
        <w:t>CADMAXX SOLUTION Pvt. Ltd.</w:t>
      </w:r>
    </w:p>
    <w:p>
      <w:pPr>
        <w:pStyle w:val="style4099"/>
        <w:ind w:firstLine="709"/>
        <w:rPr>
          <w:rFonts w:ascii="Calibri" w:cs="Calibri" w:hAnsi="Calibri"/>
        </w:rPr>
      </w:pPr>
      <w:r>
        <w:rPr>
          <w:rFonts w:ascii="Calibri" w:cs="Calibri" w:hAnsi="Calibri"/>
          <w:b/>
          <w:bCs/>
          <w:sz w:val="28"/>
          <w:szCs w:val="28"/>
        </w:rPr>
        <w:t>I</w:t>
      </w:r>
      <w:r>
        <w:rPr>
          <w:rFonts w:ascii="Calibri" w:cs="Calibri" w:hAnsi="Calibri"/>
          <w:b/>
          <w:bCs/>
          <w:sz w:val="28"/>
          <w:szCs w:val="28"/>
        </w:rPr>
        <w:t>.</w:t>
      </w:r>
      <w:r>
        <w:rPr>
          <w:rFonts w:ascii="Calibri" w:cs="Calibri" w:hAnsi="Calibri"/>
          <w:b/>
          <w:bCs/>
          <w:sz w:val="28"/>
          <w:szCs w:val="28"/>
        </w:rPr>
        <w:t>H</w:t>
      </w:r>
      <w:r>
        <w:rPr>
          <w:rFonts w:ascii="Calibri" w:cs="Calibri" w:hAnsi="Calibri"/>
          <w:b/>
          <w:bCs/>
          <w:sz w:val="28"/>
          <w:szCs w:val="28"/>
        </w:rPr>
        <w:t>.</w:t>
      </w:r>
      <w:r>
        <w:rPr>
          <w:rFonts w:ascii="Calibri" w:cs="Calibri" w:hAnsi="Calibri"/>
          <w:b/>
          <w:bCs/>
          <w:sz w:val="28"/>
          <w:szCs w:val="28"/>
        </w:rPr>
        <w:t>T</w:t>
      </w:r>
      <w:r>
        <w:rPr>
          <w:rFonts w:ascii="Calibri" w:cs="Calibri" w:hAnsi="Calibri"/>
          <w:b/>
          <w:bCs/>
          <w:sz w:val="28"/>
          <w:szCs w:val="28"/>
        </w:rPr>
        <w:t>.</w:t>
      </w:r>
      <w:r>
        <w:rPr>
          <w:rFonts w:ascii="Calibri" w:cs="Calibri" w:hAnsi="Calibri"/>
          <w:b/>
          <w:bCs/>
          <w:sz w:val="28"/>
          <w:szCs w:val="28"/>
        </w:rPr>
        <w:t>M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</w:rPr>
        <w:t xml:space="preserve">is a unit in Toyota Kirloskar Motors that is dedicated to the designing and </w:t>
      </w:r>
      <w:r>
        <w:rPr>
          <w:rFonts w:ascii="Calibri" w:cs="Calibri" w:hAnsi="Calibri"/>
        </w:rPr>
        <w:t>manufacturing of Welding Jigs, C</w:t>
      </w:r>
      <w:r>
        <w:rPr>
          <w:rFonts w:ascii="Calibri" w:cs="Calibri" w:hAnsi="Calibri"/>
        </w:rPr>
        <w:t>hecking</w:t>
      </w:r>
      <w:r>
        <w:rPr>
          <w:rFonts w:ascii="Calibri" w:cs="Calibri" w:hAnsi="Calibri"/>
        </w:rPr>
        <w:t xml:space="preserve"> F</w:t>
      </w:r>
      <w:r>
        <w:rPr>
          <w:rFonts w:ascii="Calibri" w:cs="Calibri" w:hAnsi="Calibri"/>
        </w:rPr>
        <w:t>ixture</w:t>
      </w:r>
      <w:r>
        <w:rPr>
          <w:rFonts w:ascii="Calibri" w:cs="Calibri" w:hAnsi="Calibri"/>
        </w:rPr>
        <w:t>s, Assembly T</w:t>
      </w:r>
      <w:r>
        <w:rPr>
          <w:rFonts w:ascii="Calibri" w:cs="Calibri" w:hAnsi="Calibri"/>
        </w:rPr>
        <w:t>ables, Special purpose M/c</w:t>
      </w:r>
      <w:r>
        <w:rPr>
          <w:rFonts w:ascii="Calibri" w:cs="Calibri" w:hAnsi="Calibri"/>
        </w:rPr>
        <w:t>’s</w:t>
      </w:r>
      <w:r>
        <w:rPr>
          <w:rFonts w:ascii="Calibri" w:cs="Calibri" w:hAnsi="Calibri"/>
        </w:rPr>
        <w:t>, Line building</w:t>
      </w:r>
      <w:r>
        <w:rPr>
          <w:rFonts w:ascii="Calibri" w:cs="Calibri" w:hAnsi="Calibri"/>
        </w:rPr>
        <w:t xml:space="preserve"> T</w:t>
      </w:r>
      <w:r>
        <w:rPr>
          <w:rFonts w:ascii="Calibri" w:cs="Calibri" w:hAnsi="Calibri"/>
        </w:rPr>
        <w:t>ransfer Systems</w:t>
      </w:r>
      <w:r>
        <w:rPr>
          <w:rFonts w:ascii="Calibri" w:cs="Calibri" w:hAnsi="Calibri"/>
        </w:rPr>
        <w:t>, Simulators, Pro</w:t>
      </w:r>
      <w:r>
        <w:rPr>
          <w:rFonts w:ascii="Calibri" w:cs="Calibri" w:hAnsi="Calibri"/>
        </w:rPr>
        <w:t xml:space="preserve">totype, Visual based Inspection, Installation of Robotic Automation line </w:t>
      </w:r>
      <w:r>
        <w:rPr>
          <w:rFonts w:ascii="Calibri" w:cs="Calibri" w:hAnsi="Calibri"/>
        </w:rPr>
        <w:t>etc. that are used in the</w:t>
      </w:r>
      <w:r>
        <w:rPr>
          <w:rFonts w:ascii="Calibri" w:cs="Calibri" w:hAnsi="Calibri"/>
        </w:rPr>
        <w:t xml:space="preserve"> manufacture of Toyota vehicles.</w:t>
      </w:r>
    </w:p>
    <w:tbl>
      <w:tblPr>
        <w:tblStyle w:val="style154"/>
        <w:tblpPr w:leftFromText="180" w:rightFromText="180" w:topFromText="0" w:bottomFromText="0" w:vertAnchor="text" w:horzAnchor="margin" w:tblpXSpec="right" w:tblpY="157"/>
        <w:tblW w:w="104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494"/>
        <w:gridCol w:w="8972"/>
      </w:tblGrid>
      <w:tr>
        <w:trPr>
          <w:trHeight w:val="351" w:hRule="atLeast"/>
        </w:trPr>
        <w:tc>
          <w:tcPr>
            <w:tcW w:w="1271" w:type="dxa"/>
            <w:vMerge w:val="restart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03/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2021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9222" w:type="dxa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Role: </w:t>
            </w:r>
            <w:r>
              <w:rPr>
                <w:rFonts w:ascii="Calibri" w:cs="Calibri" w:hAnsi="Calibri"/>
              </w:rPr>
              <w:t xml:space="preserve"> 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Associate Engineer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: Project coordinator and</w:t>
            </w:r>
            <w:bookmarkStart w:id="0" w:name="_GoBack"/>
            <w:bookmarkEnd w:id="0"/>
            <w:r>
              <w:rPr>
                <w:rFonts w:ascii="Calibri" w:cs="Calibri" w:hAnsi="Calibri"/>
                <w:b/>
                <w:sz w:val="24"/>
                <w:szCs w:val="24"/>
              </w:rPr>
              <w:t xml:space="preserve"> Safety Leader.</w:t>
            </w:r>
          </w:p>
        </w:tc>
      </w:tr>
      <w:tr>
        <w:tblPrEx/>
        <w:trPr>
          <w:trHeight w:val="351" w:hRule="atLeast"/>
        </w:trPr>
        <w:tc>
          <w:tcPr>
            <w:tcW w:w="1271" w:type="dxa"/>
            <w:vMerge w:val="continue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222" w:type="dxa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color w:val="000000"/>
                <w:sz w:val="24"/>
                <w:szCs w:val="24"/>
              </w:rPr>
              <w:t>In-House Tool Manufacturing Unit (T.K.M), Bidadi.</w:t>
            </w:r>
          </w:p>
        </w:tc>
      </w:tr>
      <w:tr>
        <w:tblPrEx/>
        <w:trPr>
          <w:trHeight w:val="576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0" w:beforeAutospacing="true"/>
              <w:ind w:left="1014" w:hanging="708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First-hand experience in handling various tools during the assembly of tools, jigs and fixtures.</w:t>
            </w:r>
          </w:p>
        </w:tc>
      </w:tr>
      <w:tr>
        <w:tblPrEx/>
        <w:trPr>
          <w:trHeight w:val="37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0" w:beforeAutospacing="true"/>
              <w:ind w:left="1014" w:hanging="708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BIW jigs and Fixtures concepts.</w:t>
            </w:r>
          </w:p>
        </w:tc>
      </w:tr>
      <w:tr>
        <w:tblPrEx/>
        <w:trPr>
          <w:trHeight w:val="0" w:hRule="auto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0" w:beforeAutospacing="true"/>
              <w:ind w:left="1014" w:hanging="708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Assembly, Installation and Prove out of </w:t>
            </w: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Laser cutting robot cell</w:t>
            </w:r>
            <w:r>
              <w:rPr>
                <w:rFonts w:ascii="Calibri" w:cs="Calibri" w:hAnsi="Calibri"/>
                <w:sz w:val="24"/>
                <w:szCs w:val="24"/>
              </w:rPr>
              <w:t>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0" w:beforeAutospacing="true"/>
              <w:ind w:left="1014" w:hanging="708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Various other Projects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 xml:space="preserve"> Mech. Assembly &amp; Installation of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D-22 project (Urban Cruiser </w:t>
            </w:r>
            <w:r>
              <w:rPr>
                <w:rFonts w:ascii="Calibri" w:cs="Calibri" w:hAnsi="Calibri"/>
                <w:sz w:val="24"/>
                <w:szCs w:val="24"/>
              </w:rPr>
              <w:t>Hy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-Ryder), 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Exhaust Pipe conveyor (Automation), Fuel Tank Lifter, E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ngine Dolly, Transmission Dolly, MRA Roof Robot Cell.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0" w:beforeAutospacing="true"/>
              <w:ind w:left="1014" w:hanging="708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 xml:space="preserve">Handled project related to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en-GB"/>
              </w:rPr>
              <w:t>Engine Dolly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– Engine Mounting Unit.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en-GB"/>
              </w:rPr>
              <w:t xml:space="preserve">  CMPV </w:t>
            </w: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0" w:beforeAutospacing="true"/>
              <w:ind w:left="1014" w:hanging="708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Completed Entire Mechanical assembly and I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nstallation of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various 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T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ransfer system</w:t>
            </w:r>
            <w:r>
              <w:rPr>
                <w:rFonts w:ascii="Calibri" w:cs="Calibri" w:hAnsi="Calibri"/>
                <w:sz w:val="24"/>
                <w:szCs w:val="24"/>
              </w:rPr>
              <w:t>.</w:t>
            </w:r>
          </w:p>
        </w:tc>
      </w:tr>
      <w:tr>
        <w:tblPrEx/>
        <w:trPr>
          <w:trHeight w:val="86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0" w:beforeAutospacing="true"/>
              <w:ind w:left="1014" w:hanging="708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UNDER BODY – Transfer of 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Front and Rear floor body with Centre floo</w:t>
            </w:r>
            <w:r>
              <w:rPr>
                <w:rFonts w:ascii="Calibri" w:cs="Calibri" w:hAnsi="Calibri"/>
                <w:sz w:val="24"/>
                <w:szCs w:val="24"/>
              </w:rPr>
              <w:t>r to AGBL line.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Installation of Entire Automated Robot Line 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(15 + 15).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6"/>
              </w:numPr>
              <w:ind w:left="1014" w:hanging="70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SIDE MEMBER – Transfer of side member body both LH and RH to AGBL line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6"/>
              </w:numPr>
              <w:ind w:left="1014" w:hanging="708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Carried out activities like Layout Marking, Project Documentation, Jig Levelling, Ensuring Safety work during the projects, Ensuring 4 S maintenance during the projects.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Jig Prove Out, Rework and ECI Change part. </w:t>
            </w:r>
          </w:p>
        </w:tc>
      </w:tr>
    </w:tbl>
    <w:p>
      <w:pPr>
        <w:pStyle w:val="style4099"/>
        <w:numPr>
          <w:ilvl w:val="0"/>
          <w:numId w:val="1"/>
        </w:numPr>
        <w:ind w:left="142" w:firstLine="218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BELL O SEAL VALVES </w:t>
      </w:r>
      <w:r>
        <w:rPr>
          <w:rFonts w:ascii="Calibri" w:cs="Calibri" w:hAnsi="Calibri"/>
          <w:b/>
          <w:bCs/>
          <w:sz w:val="28"/>
          <w:szCs w:val="28"/>
        </w:rPr>
        <w:t>Pvt. Ltd.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hAnsi="Calibri"/>
        </w:rPr>
        <w:t>is one of the leading Valve Manufacturing Company in India. The company manufactures both Bellow seal and Non Bellow seal valves. Bellow Sealed valves, a special product which prevents fugitive emission. The bellow seal valves are used in critical applications like Nuclear, HTF, Chlorine, and Steam. It caters to both Domestic and the Export market.</w:t>
      </w:r>
    </w:p>
    <w:tbl>
      <w:tblPr>
        <w:tblStyle w:val="style154"/>
        <w:tblpPr w:leftFromText="180" w:rightFromText="180" w:topFromText="0" w:bottomFromText="0" w:vertAnchor="text" w:horzAnchor="margin" w:tblpXSpec="right" w:tblpY="157"/>
        <w:tblW w:w="104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8880"/>
      </w:tblGrid>
      <w:tr>
        <w:trPr>
          <w:trHeight w:val="351" w:hRule="atLeast"/>
        </w:trPr>
        <w:tc>
          <w:tcPr>
            <w:tcW w:w="1271" w:type="dxa"/>
            <w:vMerge w:val="restart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03/2015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– 03/2017</w:t>
            </w:r>
          </w:p>
        </w:tc>
        <w:tc>
          <w:tcPr>
            <w:tcW w:w="9222" w:type="dxa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Role: In-process Quality Engineer</w:t>
            </w:r>
          </w:p>
        </w:tc>
      </w:tr>
      <w:tr>
        <w:tblPrEx/>
        <w:trPr>
          <w:trHeight w:val="351" w:hRule="atLeast"/>
        </w:trPr>
        <w:tc>
          <w:tcPr>
            <w:tcW w:w="1271" w:type="dxa"/>
            <w:vMerge w:val="continue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222" w:type="dxa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color w:val="000000"/>
                <w:sz w:val="24"/>
                <w:szCs w:val="24"/>
              </w:rPr>
              <w:t>Bell-O-Seal Valves Pvt. Ltd., Udupi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spacing w:before="100" w:beforeAutospacing="true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In charge of In-process Quality Section.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spacing w:before="100" w:beforeAutospacing="true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Daily in process Inspection &amp; Non Conformities analysis using 7 QC Tools.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spacing w:before="100" w:beforeAutospacing="true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 xml:space="preserve">Performing Tests such as Hardness Test, PMI, Surface Roughness, DPT. Etc. whenever necessary. 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spacing w:before="100" w:beforeAutospacing="true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Timely carrying out the Calibration of Measuring Instruments of the Machine Operators.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spacing w:before="100" w:beforeAutospacing="true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Rejections, Draft various reports for Non-Conforming Material Issue, Implementing Corrective &amp; Preventive action.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spacing w:before="100" w:beforeAutospacing="true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Inspected various new design development Valves, Also Isolation Valves &amp; </w:t>
            </w: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en-GB"/>
              </w:rPr>
              <w:t>3 Valve manifolds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 valve for the </w:t>
            </w: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en-GB"/>
              </w:rPr>
              <w:t>Nuclear</w:t>
            </w:r>
            <w:r>
              <w:rPr>
                <w:rFonts w:ascii="Calibri" w:eastAsia="Times New Roman" w:hAnsi="Calibri"/>
                <w:bCs/>
                <w:sz w:val="24"/>
                <w:szCs w:val="24"/>
                <w:lang w:eastAsia="en-GB"/>
              </w:rPr>
              <w:t xml:space="preserve"> Power Corporation of India Ltd.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7"/>
              </w:numPr>
              <w:shd w:val="clear" w:color="auto" w:fill="ffffff"/>
              <w:spacing w:before="100" w:beforeAutospacing="true"/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n-GB"/>
              </w:rPr>
              <w:t>Organizing and Filing important documents related to work.</w:t>
            </w:r>
          </w:p>
        </w:tc>
      </w:tr>
      <w:tr>
        <w:tblPrEx/>
        <w:trPr>
          <w:trHeight w:val="351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7"/>
              </w:num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with Suppliers for CAPA against Non Conformities and verification of closure of Non Conformities.</w:t>
            </w:r>
          </w:p>
        </w:tc>
      </w:tr>
    </w:tbl>
    <w:p>
      <w:pPr>
        <w:pStyle w:val="style4099"/>
        <w:rPr>
          <w:rFonts w:ascii="Calibri" w:cs="Calibri" w:hAnsi="Calibri"/>
        </w:rPr>
      </w:pPr>
    </w:p>
    <w:tbl>
      <w:tblPr>
        <w:tblStyle w:val="style154"/>
        <w:tblpPr w:leftFromText="180" w:rightFromText="180" w:topFromText="0" w:bottomFromText="0" w:vertAnchor="text" w:horzAnchor="margin" w:tblpXSpec="right" w:tblpY="75"/>
        <w:tblW w:w="104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454"/>
        <w:gridCol w:w="9012"/>
      </w:tblGrid>
      <w:tr>
        <w:trPr>
          <w:trHeight w:val="351" w:hRule="atLeast"/>
        </w:trPr>
        <w:tc>
          <w:tcPr>
            <w:tcW w:w="1271" w:type="dxa"/>
            <w:vMerge w:val="restart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09/2014</w:t>
            </w:r>
          </w:p>
          <w:p>
            <w:pPr>
              <w:pStyle w:val="style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– 03/2015</w:t>
            </w:r>
          </w:p>
        </w:tc>
        <w:tc>
          <w:tcPr>
            <w:tcW w:w="9222" w:type="dxa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Role: Purchase Trainee Engineer</w:t>
            </w:r>
          </w:p>
        </w:tc>
      </w:tr>
      <w:tr>
        <w:tblPrEx/>
        <w:trPr>
          <w:trHeight w:val="368" w:hRule="atLeast"/>
        </w:trPr>
        <w:tc>
          <w:tcPr>
            <w:tcW w:w="1271" w:type="dxa"/>
            <w:vMerge w:val="continue"/>
            <w:tcBorders/>
            <w:shd w:val="clear" w:color="auto" w:fill="ffffff"/>
          </w:tcPr>
          <w:p>
            <w:pPr>
              <w:pStyle w:val="style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222" w:type="dxa"/>
            <w:tcBorders/>
            <w:shd w:val="clear" w:color="auto" w:fill="ffffff"/>
          </w:tcPr>
          <w:p>
            <w:pPr>
              <w:pStyle w:val="style0"/>
              <w:tabs>
                <w:tab w:val="left" w:leader="none" w:pos="3580"/>
              </w:tabs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color w:val="000000"/>
                <w:sz w:val="24"/>
                <w:szCs w:val="24"/>
              </w:rPr>
              <w:t>Bell-O-Seal Valves Pvt. Ltd., Udupi</w:t>
            </w:r>
          </w:p>
        </w:tc>
      </w:tr>
      <w:tr>
        <w:tblPrEx/>
        <w:trPr>
          <w:trHeight w:val="368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8"/>
              </w:numPr>
              <w:shd w:val="clear" w:color="auto" w:fill="ffffff"/>
              <w:rPr>
                <w:rFonts w:ascii="Calibri" w:cs="Arial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cs="Arial" w:eastAsia="Times New Roman" w:hAnsi="Calibri"/>
                <w:color w:val="000000"/>
                <w:sz w:val="24"/>
                <w:szCs w:val="24"/>
                <w:lang w:eastAsia="en-GB"/>
              </w:rPr>
              <w:t>Handled procurement of All Consumables, Necessary supplies and machine component parts.</w:t>
            </w:r>
          </w:p>
        </w:tc>
      </w:tr>
      <w:tr>
        <w:tblPrEx/>
        <w:trPr>
          <w:trHeight w:val="368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8"/>
              </w:numPr>
              <w:shd w:val="clear" w:color="auto" w:fill="ffffff"/>
              <w:rPr>
                <w:rFonts w:ascii="Calibri" w:cs="Arial" w:eastAsia="Times New Roman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cs="Arial" w:eastAsia="Times New Roman" w:hAnsi="Calibri"/>
                <w:color w:val="000000"/>
                <w:sz w:val="24"/>
                <w:szCs w:val="24"/>
                <w:lang w:eastAsia="en-GB"/>
              </w:rPr>
              <w:t>Identifying New Suppliers &amp; Negotiating price of items with various suppliers.</w:t>
            </w:r>
          </w:p>
        </w:tc>
      </w:tr>
      <w:tr>
        <w:tblPrEx/>
        <w:trPr>
          <w:trHeight w:val="368" w:hRule="atLeast"/>
        </w:trPr>
        <w:tc>
          <w:tcPr>
            <w:tcW w:w="10493" w:type="dxa"/>
            <w:gridSpan w:val="2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3580"/>
              </w:tabs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cs="Arial" w:eastAsia="Times New Roman" w:hAnsi="Calibri"/>
                <w:color w:val="000000"/>
                <w:sz w:val="24"/>
                <w:szCs w:val="24"/>
                <w:lang w:eastAsia="en-GB"/>
              </w:rPr>
              <w:t>Quick Study of each new special Material Indent by any Department by direct approach.</w:t>
            </w:r>
          </w:p>
        </w:tc>
      </w:tr>
    </w:tbl>
    <w:p>
      <w:pPr>
        <w:pStyle w:val="style4099"/>
        <w:spacing w:before="240"/>
        <w:rPr>
          <w:rFonts w:ascii="Calibri" w:cs="Calibri" w:hAnsi="Calibri"/>
        </w:rPr>
      </w:pP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6480000" cy="323850"/>
                <wp:effectExtent l="0" t="0" r="16510" b="19050"/>
                <wp:docPr id="1035" name="Rounded 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000" cy="32385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4099"/>
                              <w:rPr>
                                <w:rFonts w:ascii="BankGothic Lt BT" w:hAnsi="BankGothic Lt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Academic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Q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ualifications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409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35" arcsize="0.16666667," fillcolor="#5b9bd5" stroked="t" style="margin-left:0.0pt;margin-top:0.0pt;width:510.24pt;height:25.5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4099"/>
                        <w:rPr>
                          <w:rFonts w:ascii="BankGothic Lt BT" w:hAnsi="BankGothic Lt BT"/>
                          <w:sz w:val="32"/>
                          <w:szCs w:val="32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bCs/>
                          <w:color w:val="ffffff"/>
                          <w:sz w:val="32"/>
                          <w:szCs w:val="32"/>
                        </w:rPr>
                        <w:t>Academic</w:t>
                      </w:r>
                      <w:r>
                        <w:rPr>
                          <w:rFonts w:ascii="BankGothic Lt BT" w:hAnsi="BankGothic Lt BT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ankGothic Lt BT" w:hAnsi="BankGothic Lt BT"/>
                          <w:b/>
                          <w:bCs/>
                          <w:color w:val="ffffff"/>
                          <w:sz w:val="32"/>
                          <w:szCs w:val="32"/>
                        </w:rPr>
                        <w:t>Q</w:t>
                      </w:r>
                      <w:r>
                        <w:rPr>
                          <w:rFonts w:ascii="BankGothic Lt BT" w:hAnsi="BankGothic Lt BT"/>
                          <w:b/>
                          <w:bCs/>
                          <w:color w:val="ffffff"/>
                          <w:sz w:val="32"/>
                          <w:szCs w:val="32"/>
                        </w:rPr>
                        <w:t>ualifications</w:t>
                      </w:r>
                      <w:r>
                        <w:rPr>
                          <w:rFonts w:ascii="BankGothic Lt BT" w:hAnsi="BankGothic Lt BT"/>
                          <w:b/>
                          <w:bCs/>
                          <w:color w:val="ffffff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BankGothic Lt BT" w:hAnsi="BankGothic Lt B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pStyle w:val="style4099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2410"/>
        <w:gridCol w:w="1134"/>
        <w:gridCol w:w="1701"/>
      </w:tblGrid>
      <w:tr>
        <w:trPr>
          <w:trHeight w:val="245" w:hRule="atLeast"/>
        </w:trPr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School / College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Board / University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Class Obtained</w:t>
            </w:r>
          </w:p>
        </w:tc>
      </w:tr>
      <w:tr>
        <w:tblPrEx/>
        <w:trPr>
          <w:trHeight w:val="358" w:hRule="atLeast"/>
        </w:trPr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BE (Mechanical Engineering)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tabs>
                <w:tab w:val="left" w:leader="none" w:pos="1890"/>
              </w:tabs>
              <w:spacing w:after="0" w:lineRule="auto" w:line="24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St.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Joseph’s Engineering College. </w:t>
            </w:r>
            <w:r>
              <w:rPr>
                <w:rFonts w:cs="Calibri"/>
                <w:color w:val="000000"/>
                <w:sz w:val="24"/>
                <w:szCs w:val="24"/>
              </w:rPr>
              <w:t>Vamanjoor, Mangalore.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V.T.U</w:t>
            </w:r>
            <w:r>
              <w:rPr>
                <w:rFonts w:cs="Calibri"/>
                <w:color w:val="000000"/>
                <w:sz w:val="24"/>
                <w:szCs w:val="24"/>
              </w:rPr>
              <w:t>, Belgaum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Second Class</w:t>
            </w:r>
          </w:p>
        </w:tc>
      </w:tr>
      <w:tr>
        <w:tblPrEx/>
        <w:trPr>
          <w:trHeight w:val="230" w:hRule="atLeast"/>
        </w:trPr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DIPLOMA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 w:eastAsia="Times New Roman"/>
                <w:iCs/>
                <w:color w:val="000000"/>
                <w:sz w:val="24"/>
                <w:szCs w:val="24"/>
                <w:lang w:eastAsia="en-GB"/>
              </w:rPr>
              <w:t>Dr. T.M.A Pai Polytechnic, Manipal.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K.E.A, Karnataka.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First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Class</w:t>
            </w:r>
          </w:p>
        </w:tc>
      </w:tr>
      <w:tr>
        <w:tblPrEx/>
        <w:trPr>
          <w:trHeight w:val="226" w:hRule="atLeast"/>
        </w:trPr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 w:eastAsia="Times New Roman"/>
                <w:iCs/>
                <w:color w:val="000000"/>
                <w:sz w:val="24"/>
                <w:szCs w:val="24"/>
                <w:lang w:eastAsia="en-GB"/>
              </w:rPr>
              <w:t>Milagres English Medium Higher Pr. School, Kallianpur, Udupi.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Karnataka Board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First Class</w:t>
            </w:r>
          </w:p>
        </w:tc>
      </w:tr>
    </w:tbl>
    <w:p>
      <w:pPr>
        <w:pStyle w:val="style4099"/>
        <w:spacing w:after="240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6480000" cy="323850"/>
                <wp:effectExtent l="0" t="0" r="16510" b="19050"/>
                <wp:docPr id="1037" name="Rounded 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000" cy="32385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Computer Skills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37" arcsize="0.16666667," fillcolor="#5b9bd5" stroked="t" style="margin-left:0.0pt;margin-top:0.0pt;width:510.24pt;height:25.5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Computer Skills</w:t>
                      </w: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p>
      <w:pPr>
        <w:pStyle w:val="style4099"/>
        <w:rPr>
          <w:rFonts w:ascii="Calibri" w:cs="Calibri" w:hAnsi="Calibri"/>
        </w:rPr>
      </w:pPr>
    </w:p>
    <w:tbl>
      <w:tblPr>
        <w:tblStyle w:val="style154"/>
        <w:tblW w:w="0" w:type="auto"/>
        <w:tblInd w:w="7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949"/>
        <w:gridCol w:w="2551"/>
        <w:gridCol w:w="1276"/>
      </w:tblGrid>
      <w:tr>
        <w:trPr/>
        <w:tc>
          <w:tcPr>
            <w:tcW w:w="284" w:type="dxa"/>
            <w:tcBorders/>
            <w:shd w:val="clear" w:color="auto" w:fill="ffffff"/>
          </w:tcPr>
          <w:p>
            <w:pPr>
              <w:pStyle w:val="style4099"/>
              <w:numPr>
                <w:ilvl w:val="0"/>
                <w:numId w:val="9"/>
              </w:numPr>
              <w:ind w:left="0" w:hanging="13"/>
              <w:rPr>
                <w:rFonts w:ascii="Calibri" w:cs="Calibri" w:hAnsi="Calibri"/>
                <w:b/>
              </w:rPr>
            </w:pPr>
          </w:p>
        </w:tc>
        <w:tc>
          <w:tcPr>
            <w:tcW w:w="2551" w:type="dxa"/>
            <w:tcBorders/>
            <w:shd w:val="clear" w:color="auto" w:fill="ffffff"/>
          </w:tcPr>
          <w:p>
            <w:pPr>
              <w:pStyle w:val="style409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AutoCAD.</w:t>
            </w:r>
          </w:p>
        </w:tc>
        <w:tc>
          <w:tcPr>
            <w:tcW w:w="1276" w:type="dxa"/>
            <w:tcBorders/>
            <w:shd w:val="clear" w:color="auto" w:fill="d9e2f3"/>
          </w:tcPr>
          <w:p>
            <w:pPr>
              <w:pStyle w:val="style4099"/>
              <w:rPr>
                <w:rFonts w:ascii="Calibri" w:cs="Calibri" w:hAnsi="Calibri"/>
              </w:rPr>
            </w:pP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a6a6a6"/>
                <w:lang w:eastAsia="en-GB"/>
              </w:rPr>
              <w:sym w:font="Wingdings 2" w:char="f098"/>
            </w:r>
          </w:p>
        </w:tc>
      </w:tr>
      <w:tr>
        <w:tblPrEx/>
        <w:trPr/>
        <w:tc>
          <w:tcPr>
            <w:tcW w:w="284" w:type="dxa"/>
            <w:tcBorders/>
            <w:shd w:val="clear" w:color="auto" w:fill="ffffff"/>
          </w:tcPr>
          <w:p>
            <w:pPr>
              <w:pStyle w:val="style4099"/>
              <w:numPr>
                <w:ilvl w:val="0"/>
                <w:numId w:val="9"/>
              </w:numPr>
              <w:ind w:left="0" w:hanging="13"/>
              <w:rPr>
                <w:rFonts w:ascii="Calibri" w:cs="Calibri" w:hAnsi="Calibri"/>
                <w:b/>
              </w:rPr>
            </w:pPr>
          </w:p>
        </w:tc>
        <w:tc>
          <w:tcPr>
            <w:tcW w:w="2551" w:type="dxa"/>
            <w:tcBorders/>
            <w:shd w:val="clear" w:color="auto" w:fill="ffffff"/>
          </w:tcPr>
          <w:p>
            <w:pPr>
              <w:pStyle w:val="style409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Solid Works.</w:t>
            </w:r>
          </w:p>
        </w:tc>
        <w:tc>
          <w:tcPr>
            <w:tcW w:w="1276" w:type="dxa"/>
            <w:tcBorders/>
            <w:shd w:val="clear" w:color="auto" w:fill="d9e2f3"/>
          </w:tcPr>
          <w:p>
            <w:pPr>
              <w:pStyle w:val="style4099"/>
              <w:rPr>
                <w:rFonts w:ascii="Calibri" w:cs="Calibri" w:hAnsi="Calibri"/>
              </w:rPr>
            </w:pP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a6a6a6"/>
                <w:lang w:eastAsia="en-GB"/>
              </w:rPr>
              <w:sym w:font="Wingdings 2" w:char="f098"/>
            </w:r>
          </w:p>
        </w:tc>
      </w:tr>
      <w:tr>
        <w:tblPrEx/>
        <w:trPr/>
        <w:tc>
          <w:tcPr>
            <w:tcW w:w="284" w:type="dxa"/>
            <w:tcBorders/>
            <w:shd w:val="clear" w:color="auto" w:fill="ffffff"/>
          </w:tcPr>
          <w:p>
            <w:pPr>
              <w:pStyle w:val="style4099"/>
              <w:numPr>
                <w:ilvl w:val="0"/>
                <w:numId w:val="9"/>
              </w:numPr>
              <w:ind w:left="0" w:hanging="13"/>
              <w:rPr>
                <w:rFonts w:ascii="Calibri" w:cs="Calibri" w:hAnsi="Calibri"/>
                <w:b/>
              </w:rPr>
            </w:pPr>
          </w:p>
        </w:tc>
        <w:tc>
          <w:tcPr>
            <w:tcW w:w="2551" w:type="dxa"/>
            <w:tcBorders/>
            <w:shd w:val="clear" w:color="auto" w:fill="ffffff"/>
          </w:tcPr>
          <w:p>
            <w:pPr>
              <w:pStyle w:val="style409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Catia.</w:t>
            </w:r>
          </w:p>
        </w:tc>
        <w:tc>
          <w:tcPr>
            <w:tcW w:w="1276" w:type="dxa"/>
            <w:tcBorders/>
            <w:shd w:val="clear" w:color="auto" w:fill="d9e2f3"/>
          </w:tcPr>
          <w:p>
            <w:pPr>
              <w:pStyle w:val="style4099"/>
              <w:rPr>
                <w:rFonts w:ascii="Calibri" w:cs="Calibri" w:hAnsi="Calibri"/>
              </w:rPr>
            </w:pP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a6a6a6"/>
                <w:lang w:eastAsia="en-GB"/>
              </w:rPr>
              <w:sym w:font="Wingdings 2" w:char="f098"/>
            </w:r>
            <w:r>
              <w:rPr>
                <w:rFonts w:eastAsia="Times New Roman"/>
                <w:color w:val="a6a6a6"/>
                <w:lang w:eastAsia="en-GB"/>
              </w:rPr>
              <w:sym w:font="Wingdings 2" w:char="f098"/>
            </w:r>
          </w:p>
        </w:tc>
      </w:tr>
      <w:tr>
        <w:tblPrEx/>
        <w:trPr/>
        <w:tc>
          <w:tcPr>
            <w:tcW w:w="284" w:type="dxa"/>
            <w:tcBorders/>
            <w:shd w:val="clear" w:color="auto" w:fill="ffffff"/>
          </w:tcPr>
          <w:p>
            <w:pPr>
              <w:pStyle w:val="style4099"/>
              <w:numPr>
                <w:ilvl w:val="0"/>
                <w:numId w:val="9"/>
              </w:numPr>
              <w:ind w:left="0" w:hanging="13"/>
              <w:rPr>
                <w:rFonts w:ascii="Calibri" w:cs="Calibri" w:hAnsi="Calibri"/>
                <w:b/>
              </w:rPr>
            </w:pPr>
          </w:p>
        </w:tc>
        <w:tc>
          <w:tcPr>
            <w:tcW w:w="2551" w:type="dxa"/>
            <w:tcBorders/>
            <w:shd w:val="clear" w:color="auto" w:fill="ffffff"/>
          </w:tcPr>
          <w:p>
            <w:pPr>
              <w:pStyle w:val="style409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SAP B1.</w:t>
            </w:r>
          </w:p>
        </w:tc>
        <w:tc>
          <w:tcPr>
            <w:tcW w:w="1276" w:type="dxa"/>
            <w:tcBorders/>
            <w:shd w:val="clear" w:color="auto" w:fill="d9e2f3"/>
          </w:tcPr>
          <w:p>
            <w:pPr>
              <w:pStyle w:val="style4099"/>
              <w:rPr>
                <w:rFonts w:ascii="Calibri" w:cs="Calibri" w:hAnsi="Calibri"/>
              </w:rPr>
            </w:pP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a6a6a6"/>
                <w:lang w:eastAsia="en-GB"/>
              </w:rPr>
              <w:sym w:font="Wingdings 2" w:char="f098"/>
            </w:r>
            <w:r>
              <w:rPr>
                <w:rFonts w:eastAsia="Times New Roman"/>
                <w:color w:val="a6a6a6"/>
                <w:lang w:eastAsia="en-GB"/>
              </w:rPr>
              <w:sym w:font="Wingdings 2" w:char="f098"/>
            </w:r>
          </w:p>
        </w:tc>
      </w:tr>
      <w:tr>
        <w:tblPrEx/>
        <w:trPr/>
        <w:tc>
          <w:tcPr>
            <w:tcW w:w="284" w:type="dxa"/>
            <w:tcBorders/>
            <w:shd w:val="clear" w:color="auto" w:fill="ffffff"/>
          </w:tcPr>
          <w:p>
            <w:pPr>
              <w:pStyle w:val="style4099"/>
              <w:numPr>
                <w:ilvl w:val="0"/>
                <w:numId w:val="9"/>
              </w:numPr>
              <w:ind w:left="0" w:hanging="13"/>
              <w:rPr>
                <w:rFonts w:ascii="Calibri" w:cs="Calibri" w:hAnsi="Calibri"/>
                <w:b/>
              </w:rPr>
            </w:pPr>
          </w:p>
        </w:tc>
        <w:tc>
          <w:tcPr>
            <w:tcW w:w="2551" w:type="dxa"/>
            <w:tcBorders/>
            <w:shd w:val="clear" w:color="auto" w:fill="ffffff"/>
          </w:tcPr>
          <w:p>
            <w:pPr>
              <w:pStyle w:val="style409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Microsoft Office.</w:t>
            </w:r>
          </w:p>
        </w:tc>
        <w:tc>
          <w:tcPr>
            <w:tcW w:w="1276" w:type="dxa"/>
            <w:tcBorders/>
            <w:shd w:val="clear" w:color="auto" w:fill="d9e2f3"/>
          </w:tcPr>
          <w:p>
            <w:pPr>
              <w:pStyle w:val="style4099"/>
              <w:rPr>
                <w:rFonts w:ascii="Calibri" w:cs="Calibri" w:hAnsi="Calibri"/>
              </w:rPr>
            </w:pP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2e74b5"/>
                <w:lang w:eastAsia="en-GB"/>
              </w:rPr>
              <w:sym w:font="Wingdings 2" w:char="f098"/>
            </w:r>
            <w:r>
              <w:rPr>
                <w:rFonts w:eastAsia="Times New Roman"/>
                <w:color w:val="a6a6a6"/>
                <w:lang w:eastAsia="en-GB"/>
              </w:rPr>
              <w:sym w:font="Wingdings 2" w:char="f098"/>
            </w:r>
          </w:p>
        </w:tc>
      </w:tr>
    </w:tbl>
    <w:p>
      <w:pPr>
        <w:pStyle w:val="style4099"/>
        <w:jc w:val="center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6480000" cy="323850"/>
                <wp:effectExtent l="0" t="0" r="16510" b="19050"/>
                <wp:docPr id="1039" name="Rounded 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000" cy="32385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pacing w:after="0"/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Personal Data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39" arcsize="0.16666667," fillcolor="#5b9bd5" stroked="t" style="margin-left:0.0pt;margin-top:0.0pt;width:510.24pt;height:25.5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Personal Data</w:t>
                      </w: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p>
      <w:pPr>
        <w:pStyle w:val="style4099"/>
        <w:rPr>
          <w:rFonts w:ascii="Calibri" w:cs="Calibri" w:hAnsi="Calibri"/>
        </w:rPr>
      </w:pPr>
    </w:p>
    <w:tbl>
      <w:tblPr>
        <w:tblStyle w:val="style154"/>
        <w:tblpPr w:leftFromText="180" w:rightFromText="180" w:topFromText="0" w:bottomFromText="0" w:vertAnchor="text" w:horzAnchor="page" w:tblpX="1542" w:tblpY="-44"/>
        <w:tblW w:w="66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2122"/>
        <w:gridCol w:w="993"/>
        <w:gridCol w:w="3543"/>
      </w:tblGrid>
      <w:tr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14.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Dubai, U.A.E.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No.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W3549017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5’ 11”.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Father’s Name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Timothy Jos Alban Lewis.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</w:t>
            </w: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“Pavithra House”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Door No.: 211 - 4 A10.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main,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cross.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Gopalapura, Santhekatte.</w:t>
            </w:r>
          </w:p>
        </w:tc>
      </w:tr>
      <w:tr>
        <w:tblPrEx/>
        <w:trPr/>
        <w:tc>
          <w:tcPr>
            <w:tcW w:w="2122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9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/>
            <w:shd w:val="clear" w:color="auto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Udupi, Karnataka – 576105.</w:t>
            </w:r>
          </w:p>
        </w:tc>
      </w:tr>
    </w:tbl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ind w:left="142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ind w:right="118"/>
        <w:rPr>
          <w:rFonts w:ascii="Calibri" w:cs="Calibri" w:hAnsi="Calibri"/>
        </w:rPr>
      </w:pP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</w:r>
      <w:r>
        <w:rPr>
          <w:noProof/>
          <w:lang w:eastAsia="en-GB"/>
        </w:rPr>
        <mc:AlternateContent>
          <mc:Choice Requires="wps">
            <w:drawing>
              <wp:inline distL="0" distT="0" distB="0" distR="0">
                <wp:extent cx="6480000" cy="323850"/>
                <wp:effectExtent l="0" t="0" r="16510" b="19050"/>
                <wp:docPr id="1041" name="Rounded 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000" cy="323850"/>
                        </a:xfrm>
                        <a:prstGeom prst="round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spacing w:after="0"/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rFonts w:ascii="BankGothic Lt BT" w:hAnsi="BankGothic Lt BT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41" arcsize="0.16666667," fillcolor="#5b9bd5" stroked="t" style="margin-left:0.0pt;margin-top:0.0pt;width:510.24pt;height:25.5pt;mso-wrap-distance-left:0.0pt;mso-wrap-distance-right:0.0pt;visibility:visible;v-text-anchor:middle;">
                <w10:anchorlock/>
                <v:stroke joinstyle="miter" color="#42719b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Declaration</w:t>
                      </w:r>
                      <w:r>
                        <w:rPr>
                          <w:rFonts w:ascii="BankGothic Lt BT" w:hAnsi="BankGothic Lt BT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</w:r>
      <w:r>
        <w:rPr>
          <w:noProof/>
          <w:lang w:eastAsia="en-GB"/>
        </w:rPr>
      </w:r>
    </w:p>
    <w:p>
      <w:pPr>
        <w:pStyle w:val="style4099"/>
        <w:spacing w:before="2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I hereby declare that the information mentioned above is true and correct to the best of my knowledge. </w:t>
      </w: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Date:                                                                                                                                       ALROY LEWIS</w:t>
      </w:r>
    </w:p>
    <w:p>
      <w:pPr>
        <w:pStyle w:val="style409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Place: </w:t>
      </w:r>
      <w:r>
        <w:rPr>
          <w:rFonts w:ascii="Calibri" w:cs="Calibri" w:hAnsi="Calibri"/>
          <w:sz w:val="28"/>
          <w:szCs w:val="28"/>
        </w:rPr>
        <w:t xml:space="preserve">                                                                    </w:t>
      </w:r>
    </w:p>
    <w:p>
      <w:pPr>
        <w:pStyle w:val="style4099"/>
        <w:jc w:val="center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cs="Calibri" w:hAnsi="Calibri"/>
          <w:sz w:val="28"/>
          <w:szCs w:val="28"/>
        </w:rPr>
        <w:t>Signature</w:t>
      </w:r>
      <w:r>
        <w:rPr>
          <w:rFonts w:ascii="Calibri" w:cs="Calibri" w:hAnsi="Calibri"/>
          <w:sz w:val="28"/>
          <w:szCs w:val="28"/>
        </w:rPr>
        <w:t xml:space="preserve">             </w:t>
      </w: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p>
      <w:pPr>
        <w:pStyle w:val="style4099"/>
        <w:rPr>
          <w:rFonts w:ascii="Calibri" w:cs="Calibri" w:hAnsi="Calibri"/>
        </w:rPr>
      </w:pPr>
    </w:p>
    <w:sectPr>
      <w:footerReference w:type="default" r:id="rId3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BankGothic Lt BT">
    <w:altName w:val="BankGothic Lt BT"/>
    <w:panose1 w:val="020b0607020000060204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  <w:lang w:eastAsia="en-GB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47980"/>
              <wp:effectExtent l="38100" t="47625" r="38100" b="42545"/>
              <wp:wrapNone/>
              <wp:docPr id="4097" name="Group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SpPr/>
                      <wps:spPr>
                        <a:xfrm rot="-5786020">
                          <a:off x="10190" y="14378"/>
                          <a:ext cx="548" cy="72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737373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-4936653">
                          <a:off x="10190" y="14378"/>
                          <a:ext cx="548" cy="72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737373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-5400000">
                          <a:off x="10190" y="14378"/>
                          <a:ext cx="548" cy="72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737373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4100">
                        <w:txbxContent>
                          <w:p>
                            <w:pPr>
                              <w:pStyle w:val="style32"/>
                              <w:jc w:val="center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36.0pt;height:27.4pt;z-index:2;mso-position-horizontal:center;mso-position-vertical:center;mso-position-horizontal-relative:right-margin-area;mso-position-vertical-relative:bottom-margin-area;mso-width-percent:0;mso-height-percent:0;mso-width-relative:page;mso-height-relative:page;mso-wrap-distance-left:0.0pt;mso-wrap-distance-right:0.0pt;visibility:visible;" coordsize="720,548" coordorigin="10104,14464">
              <v:rect id="4098" fillcolor="white" stroked="t" style="position:absolute;left:10190;top:14378;width:548;height:720;z-index:2;mso-position-horizontal-relative:page;mso-position-vertical-relative:page;mso-width-relative:page;mso-height-relative:page;visibility:visible;rotation:-6291456fd;">
                <v:stroke joinstyle="miter" color="#737373"/>
                <v:fill/>
              </v:rect>
              <v:rect id="4099" fillcolor="white" stroked="t" style="position:absolute;left:10190;top:14378;width:548;height:720;z-index:3;mso-position-horizontal-relative:page;mso-position-vertical-relative:page;mso-width-relative:page;mso-height-relative:page;visibility:visible;rotation:-5373952fd;">
                <v:stroke joinstyle="miter" color="#737373"/>
                <v:fill/>
              </v:rect>
              <v:rect id="4100" fillcolor="white" stroked="t" style="position:absolute;left:10190;top:14378;width:548;height:720;z-index:4;mso-position-horizontal-relative:page;mso-position-vertical-relative:page;mso-width-relative:page;mso-height-relative:page;visibility:visible;rotation:-5898240fd;">
                <v:stroke joinstyle="miter" color="#737373"/>
                <v:fill/>
                <v:textbox inset="7.2pt,3.6pt,7.2pt,3.6pt">
                  <w:txbxContent>
                    <w:p>
                      <w:pPr>
                        <w:pStyle w:val="style32"/>
                        <w:jc w:val="center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88A90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77E0695A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80AE1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CDEA408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71DA38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E2E35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E3A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F0077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7C2DF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541d7d98-9aac-43d6-b8e4-b0bc072dbef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4722e7c7-d981-4de8-9a5f-13109d1be348"/>
    <w:basedOn w:val="style65"/>
    <w:next w:val="style4098"/>
    <w:link w:val="style32"/>
    <w:uiPriority w:val="99"/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table" w:styleId="style154">
    <w:name w:val="Table Grid"/>
    <w:basedOn w:val="style105"/>
    <w:next w:val="style154"/>
    <w:uiPriority w:val="1"/>
    <w:pPr>
      <w:spacing w:after="0" w:lineRule="auto" w:line="240"/>
    </w:pPr>
    <w:rPr>
      <w:rFonts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Words>882</Words>
  <Pages>1</Pages>
  <Characters>5291</Characters>
  <Application>WPS Office</Application>
  <DocSecurity>0</DocSecurity>
  <Paragraphs>256</Paragraphs>
  <ScaleCrop>false</ScaleCrop>
  <LinksUpToDate>false</LinksUpToDate>
  <CharactersWithSpaces>6480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2024-06-09T07:32:25Z</dcterms:created>
  <dc:creator>Principal</dc:creator>
  <lastModifiedBy>2312DRAABI</lastModifiedBy>
  <lastPrinted>2023-07-06T12:27:00Z</lastPrinted>
  <dcterms:modified xsi:type="dcterms:W3CDTF">2024-06-13T14:45:05Z</dcterms:modified>
  <revision>103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671b5d1f027a4db8a2126d3540a802fe</vt:lpwstr>
  </property>
</Properties>
</file>